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Grants to agencies outside of county government</w:t>
      </w:r>
    </w:p>
    <w:p>
      <w:pPr>
        <w:jc w:val="both"/>
        <w:spacing w:before="100" w:after="100"/>
        <w:ind w:start="360"/>
        <w:ind w:firstLine="360"/>
      </w:pPr>
      <w:r>
        <w:rPr/>
      </w:r>
      <w:r>
        <w:rPr/>
      </w:r>
      <w:r>
        <w:t xml:space="preserve">Any grants placed in the county budget by the Legislature to any agency outside of the regular county departments shall be paid to those agencies on a quarterly basis.  The commissioners may withhold funds from an agency if there is evidence that funds have been misappropriated or misapplied by the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 Grants to agencies outside of county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Grants to agencies outside of county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§705. GRANTS TO AGENCIES OUTSIDE OF COUNTY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