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Purpose</w:t>
      </w:r>
    </w:p>
    <w:p>
      <w:pPr>
        <w:jc w:val="both"/>
        <w:spacing w:before="100" w:after="100"/>
        <w:ind w:start="360"/>
        <w:ind w:firstLine="360"/>
      </w:pPr>
      <w:r>
        <w:rPr/>
      </w:r>
      <w:r>
        <w:rPr/>
      </w:r>
      <w:r>
        <w:t xml:space="preserve">The purpose of this article is to establish in Waldo County a method of appropriating money for county expenditures, according to a budget, which must first receive approval of a budget committee.  This article amends the statutory method in </w:t>
      </w:r>
      <w:r>
        <w:t>sections 2</w:t>
      </w:r>
      <w:r>
        <w:t xml:space="preserve">, </w:t>
      </w:r>
      <w:r>
        <w:t>701</w:t>
      </w:r>
      <w:r>
        <w:t xml:space="preserve"> and </w:t>
      </w:r>
      <w:r>
        <w:t>702</w:t>
      </w:r>
      <w:r>
        <w:t xml:space="preserve"> by transferring the authority of the Waldo County legislative delegation and the Legislature to approve the Waldo County budget to a committee comprised of Waldo County and municipal officials.  This article applies only to Waldo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