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898</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until a budget is finally adopted, the county shall operate on an interim budget, which may not exceed the previous year's budget.</w:t>
      </w:r>
      <w:r>
        <w:t xml:space="preserve">  </w:t>
      </w:r>
      <w:r xmlns:wp="http://schemas.openxmlformats.org/drawingml/2010/wordprocessingDrawing" xmlns:w15="http://schemas.microsoft.com/office/word/2012/wordml">
        <w:rPr>
          <w:rFonts w:ascii="Arial" w:hAnsi="Arial" w:cs="Arial"/>
          <w:sz w:val="22"/>
          <w:szCs w:val="22"/>
        </w:rPr>
        <w:t xml:space="preserve">[PL 2009, c. 576,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 PL 2009, c. 576,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§898. Interim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§898. Interim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§898. INTERIM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