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203-A</w:t>
      </w:r>
    </w:p>
    <w:p>
      <w:pPr>
        <w:jc w:val="center"/>
        <w:ind w:start="360"/>
        <w:spacing w:before="300" w:after="300"/>
      </w:pPr>
      <w:r>
        <w:rPr>
          <w:b/>
        </w:rPr>
        <w:t xml:space="preserve">RIVER CORRIDOR COMMISSIONS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1983, c. 812, §179 (AMD). PL 1985, c. 481, §A54 (AMD). PL 1987, c. 737, §§A1,C106 (RP). PL 1989, c. 6 (AMD). PL 1989, c. 9, §2 (AMD). PL 1989, c. 104, §§C8,C10 (AMD). </w:t>
      </w:r>
    </w:p>
    <w:p>
      <w:pPr>
        <w:jc w:val="both"/>
        <w:spacing w:before="100" w:after="100"/>
        <w:ind w:start="1080" w:hanging="720"/>
      </w:pPr>
      <w:r>
        <w:rPr>
          <w:b/>
        </w:rPr>
        <w:t>§</w:t>
        <w:t>1963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203-A.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203-A.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203-A.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