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PUBLIC DUMPS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jc w:val="both"/>
        <w:spacing w:before="100" w:after="100"/>
        <w:ind w:start="1080" w:hanging="720"/>
      </w:pPr>
      <w:r>
        <w:rPr>
          <w:b/>
        </w:rPr>
        <w:t>§</w:t>
        <w:t>4105</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1977, c. 300, §§7-A (AMD). PL 1977, c. 353,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231. PUBLIC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PUBLIC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231. PUBLIC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