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Penobscot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Titles 15, 17, 17-A, 19-A and 29-A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Penobscot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paragraph A, and juvenile crimes, as defined in Title 15, section 3103, subsection 1, paragraphs B and C, committed by a juvenile member of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Title 22, section 2383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section 6207, subsection 11,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(NEW); PL 2023, c. 647, Pt. B, §9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Penobscot Nation is enforcing Penobscot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§4 (AMD); PL 2023, c. 647, Pt. B, §9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Penobscot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720"/>
      </w:pPr>
      <w:r>
        <w:rPr/>
        <w:t>B</w:t>
        <w:t xml:space="preserve">.  </w:t>
      </w:r>
      <w:r>
        <w:rPr/>
      </w:r>
      <w:r>
        <w:t xml:space="preserve">Class C, D and E crimes committed within Penobscot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subsection 2, the Penobscot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360"/>
      </w:pPr>
      <w:r>
        <w:rPr/>
      </w:r>
      <w:r>
        <w:rPr/>
      </w:r>
      <w:r>
        <w:t xml:space="preserve">The Penobscot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Penobscot Nation shall decide whether to exercise or terminate the exercise of jurisdiction authorized by this subsection.  In exercising the concurrent jurisdiction authorized by this subsection, the Penobscot Nation is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§5 (AMD); PL 2023, c. 647, Pt. B, §9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Penobscot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Penobscot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Penobscot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Penobscot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§6 (NEW); PL 2023, c. 647, Pt. B, §9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§7 (AMD); PL 2023, c. 647, Pt. B, §9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§8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647, Pt. B, §§4-8 (AMD). PL 2023, c. 647,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§6209-B. Jurisdiction of the Penobscot Nation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§6209-B. Jurisdiction of the Penobscot Nation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§6209-B. JURISDICTION OF THE PENOBSCOT NATION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