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§1087. Settlement of accounts and contributions among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§1087. Settlement of accounts and contributions among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§1087. SETTLEMENT OF ACCOUNTS AND CONTRIBUTIONS AMONG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