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 partnership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Effective date.</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partnership remains vested in the converted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obligations of the converting partnership continue as obligations of the converted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action or proceeding pending by or against the converting partnership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 Effect of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Effect of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§1094. EFFECT OF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