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Assumed or fictitious name of limited liability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"Assumed name" means a trade name or any name other than the real name of a limited liability company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"Fictitious name" means a name adopted by a foreign limited liability company that has filed a statement of foreign qualification in this State because its real name is unavailable pursuant to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limited liability company or foreign limited liability company that has filed a statement of foreign qualification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§5 (AMD).]</w:t>
      </w:r>
    </w:p>
    <w:p>
      <w:pPr>
        <w:jc w:val="both"/>
        <w:spacing w:before="100" w:after="100"/>
        <w:ind w:start="360"/>
        <w:ind w:firstLine="360"/>
      </w:pPr>
      <w:r>
        <w:rPr>
          <w:b/>
        </w:rPr>
        <w:t>3</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company shall execute and deliver to the office of the Secretary of State for filing a statement setting forth:</w:t>
      </w:r>
    </w:p>
    <w:p>
      <w:pPr>
        <w:jc w:val="both"/>
        <w:spacing w:before="100" w:after="0"/>
        <w:ind w:start="720"/>
      </w:pPr>
      <w:r>
        <w:rPr/>
        <w:t>A</w:t>
        <w:t xml:space="preserve">.  </w:t>
      </w:r>
      <w:r>
        <w:rPr/>
      </w:r>
      <w:r>
        <w:t xml:space="preserve">The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that the limited liability company proposes to 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assumed name is not to be used at all of the limited liability company's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company is a foreign limited liability company:</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A separate statement must be executed and delivered to the office of the Secretary of State for filing with respect to each assumed or fictitious name that the limited liability company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An assumed or fictitious name must comply with the requirements of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Enjoin use of assumed or fictitious name.</w:t>
        <w:t xml:space="preserve"> </w:t>
      </w:r>
      <w:r>
        <w:t xml:space="preserve"> </w:t>
      </w:r>
      <w:r>
        <w:t xml:space="preserve">If a limited liability company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3</w:t>
      </w:r>
      <w:r>
        <w:t xml:space="preserve"> was filed, comply with the requirements of </w:t>
      </w:r>
      <w:r>
        <w:t>section 1508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assumed or fictitious name is not distinguishable on the records of the office of the Secretary of State from a name in which the plaintiff has prior rights by virtue of the common law or statutory law of unfair competition, unfair trade practices and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mere filing of a statement pursuant to </w:t>
      </w:r>
      <w:r>
        <w:t>subsection 3</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7</w:t>
        <w:t xml:space="preserve">.  </w:t>
      </w:r>
      <w:r>
        <w:rPr>
          <w:b/>
        </w:rPr>
        <w:t xml:space="preserve">Terminate use of assumed or fictitious name.</w:t>
        <w:t xml:space="preserve"> </w:t>
      </w:r>
      <w:r>
        <w:t xml:space="preserve"> </w:t>
      </w:r>
      <w:r>
        <w:t xml:space="preserve">A limited liability company may terminate an assumed or fictitious name by executing and delivering to the office of the Secretary of State a statement setting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the limited liability company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 Assumed or fictitious name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Assumed or fictitious name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§1510. ASSUMED OR FICTITIOUS NAME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