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w:t>
        <w:t xml:space="preserve">.  </w:t>
      </w:r>
      <w:r>
        <w:rPr>
          <w:b/>
        </w:rPr>
        <w:t xml:space="preserve">Nature of professional limited liability company business</w:t>
      </w:r>
    </w:p>
    <w:p>
      <w:pPr>
        <w:jc w:val="both"/>
        <w:spacing w:before="100" w:after="100"/>
        <w:ind w:start="360"/>
        <w:ind w:firstLine="360"/>
      </w:pPr>
      <w:r>
        <w:rPr/>
      </w:r>
      <w:r>
        <w:rPr/>
      </w:r>
      <w:r>
        <w:t xml:space="preserve">A professional limited liability company, as defined in </w:t>
      </w:r>
      <w:r>
        <w:t>Title 13, section 723, subsection 5</w:t>
      </w:r>
      <w:r>
        <w:t xml:space="preserve">, is subject to the Maine Professional Service Corporation Act except as follows.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 application.</w:t>
        <w:t xml:space="preserve"> </w:t>
      </w:r>
      <w:r>
        <w:t xml:space="preserve"> </w:t>
      </w:r>
      <w:r>
        <w:t>Title 13, sections 722</w:t>
      </w:r>
      <w:r>
        <w:t xml:space="preserve">, </w:t>
      </w:r>
      <w:r>
        <w:t>733</w:t>
      </w:r>
      <w:r>
        <w:t xml:space="preserve">, </w:t>
      </w:r>
      <w:r>
        <w:t>736</w:t>
      </w:r>
      <w:r>
        <w:t xml:space="preserve">, </w:t>
      </w:r>
      <w:r>
        <w:t>751</w:t>
      </w:r>
      <w:r>
        <w:t xml:space="preserve">, </w:t>
      </w:r>
      <w:r>
        <w:t>762</w:t>
      </w:r>
      <w:r>
        <w:t xml:space="preserve"> and </w:t>
      </w:r>
      <w:r>
        <w:t>763</w:t>
      </w:r>
      <w:r>
        <w:t xml:space="preserve">, </w:t>
      </w:r>
      <w:r>
        <w:t>Title 13, section 771, subsection 2, paragraph A</w:t>
      </w:r>
      <w:r>
        <w:t xml:space="preserve"> and </w:t>
      </w:r>
      <w:r>
        <w:t>Title 13, section 772</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Application.</w:t>
        <w:t xml:space="preserve"> </w:t>
      </w:r>
      <w:r>
        <w:t xml:space="preserve"> </w:t>
      </w:r>
      <w:r>
        <w:t xml:space="preserve">All references to:</w:t>
      </w:r>
    </w:p>
    <w:p>
      <w:pPr>
        <w:jc w:val="both"/>
        <w:spacing w:before="100" w:after="0"/>
        <w:ind w:start="720"/>
      </w:pPr>
      <w:r>
        <w:rPr/>
        <w:t>A</w:t>
        <w:t xml:space="preserve">.  </w:t>
      </w:r>
      <w:r>
        <w:rPr/>
      </w:r>
      <w:r>
        <w:t xml:space="preserve">Shareholders are deemed to be references to members and transferees;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Corporations or corporations organized or incorporated under the Maine Professional Service Corporation Act are deemed to be references to professional limited liability companies;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Stock are deemed to be references to transferable interests;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Officers and directors are deemed to be references to the officers and directors of the limited liability company, if any, and otherwise to any individuals having comparable management authority in respect of the limited liability company.  References to clerk, treasurer and secretary are deemed to be references to such persons having comparable authority in respect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§1560. Nature of professional limited liability company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 Nature of professional limited liability company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§1560. NATURE OF PROFESSIONAL LIMITED LIABILITY COMPANY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