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§1583. Effect of person's dissociation as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Effect of person's dissociation as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§1583. EFFECT OF PERSON'S DISSOCIATION AS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