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1636</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under </w:t>
      </w:r>
      <w:r>
        <w:t>section 1632</w:t>
      </w:r>
      <w:r>
        <w:t xml:space="preserve">, whether by judgment, compromise or settlement, belong to the limited liability company and not to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plaintiff receives any proceeds, the plaintiff shall remit them immediately to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under </w:t>
      </w:r>
      <w:r>
        <w:t>section 1632</w:t>
      </w:r>
      <w:r>
        <w:t xml:space="preserve"> is successful in whole or in part, the court may award the plaintiff reasonable expenses, including reasonable attorney's fees and costs, from the recovery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§1636.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§1636.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