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859‑B</w:t>
      </w:r>
      <w:r>
        <w:t xml:space="preserve"> to revoke the authority of a partnership as a foreign limited liability partnership authorized to do business in this State if:</w:t>
      </w:r>
      <w:r>
        <w:t xml:space="preserve">  </w:t>
      </w:r>
      <w:r xmlns:wp="http://schemas.openxmlformats.org/drawingml/2010/wordprocessingDrawing" xmlns:w15="http://schemas.microsoft.com/office/word/2012/wordml">
        <w:rPr>
          <w:rFonts w:ascii="Arial" w:hAnsi="Arial" w:cs="Arial"/>
          <w:sz w:val="22"/>
          <w:szCs w:val="22"/>
        </w:rPr>
        <w:t xml:space="preserve">[PL 2005, c. 543, Pt. B, §8 (AMD); PL 2005, c. 543, Pt. B, §15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limited liability partnership does not pay when they are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limited liability partnership does not deliver its annual report to the Secretary of State as required by </w:t>
      </w:r>
      <w:r>
        <w:t>section 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limited liability partnership does not pay the annual report late filing penalty as required by </w:t>
      </w:r>
      <w:r>
        <w:t>section 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limited liability partnership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§24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limited liability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§25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partner or agent of the foreign limited liability partnership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7</w:t>
        <w:t xml:space="preserve">.  </w:t>
      </w:r>
      <w:r>
        <w:rPr>
          <w:b/>
        </w:rPr>
        <w:t xml:space="preserve">Amended application.</w:t>
        <w:t xml:space="preserve"> </w:t>
      </w:r>
      <w:r>
        <w:t xml:space="preserve"> </w:t>
      </w:r>
      <w:r>
        <w:t xml:space="preserve">The foreign limited liability partnership fails to file with the Secretary of State an amended application for authority required by </w:t>
      </w:r>
      <w:r>
        <w:t>section 855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8</w:t>
        <w:t xml:space="preserve">.  </w:t>
      </w:r>
      <w:r>
        <w:rPr>
          <w:b/>
        </w:rPr>
        <w:t xml:space="preserve">Authenticated certificate.</w:t>
        <w:t xml:space="preserve"> </w:t>
      </w:r>
      <w:r>
        <w:t xml:space="preserve"> </w:t>
      </w:r>
      <w:r>
        <w:t xml:space="preserve">The Secretary of State receives a duly authenticated certificate from the secretary of state or other official having custody of limited liability partnership records in the state or country under whose law the foreign limited liability partnership is organized stating that the foreign limited liability partnership is no longer treated as a registered limited liability partnership in its jurisdiction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§B8 (AMD). PL 2005, c. 543, §B15 (AFF). PL 2007, c. 323, Pt. E, §§24, 25 (AMD). PL 2007, c. 323, Pt. G,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§859-A. Grounds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§859-A. Grounds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§859-A. GROUNDS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