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26-B</w:t>
      </w:r>
    </w:p>
    <w:p>
      <w:pPr>
        <w:jc w:val="center"/>
        <w:ind w:start="360"/>
        <w:spacing w:before="300" w:after="300"/>
      </w:pPr>
      <w:r>
        <w:rPr>
          <w:b/>
        </w:rPr>
        <w:t xml:space="preserve">TOXIC CHEMICALS IN FOOD PACKAGING</w:t>
      </w:r>
    </w:p>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26-B. TOXIC CHEMICALS IN FOOD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