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7-A</w:t>
        <w:t xml:space="preserve">.  </w:t>
      </w:r>
      <w:r>
        <w:rPr>
          <w:b/>
        </w:rPr>
        <w:t xml:space="preserve">Medical debt.</w:t>
        <w:t xml:space="preserve"> </w:t>
      </w:r>
      <w:r>
        <w:t xml:space="preserve"> </w:t>
      </w:r>
      <w:r>
        <w:t xml:space="preserve">"Medical debt" means debt arising from health care services, including dental services, or health care goods, including products, devices, durable medical equipment and prescription drugs. "Medical debt" does not include debt arising from services provided by a veterinarian; debt charged to a credit card unless the credit card is issued under an open-end or closed-end credit plan offered solely for the payment of health care services; debt charged to a home equity or general purpose line of credit; or secured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PL 2023, c. 663,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