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11016</w:t>
        <w:t xml:space="preserve">.  </w:t>
      </w:r>
      <w:r>
        <w:rPr>
          <w:b/>
        </w:rPr>
        <w:t xml:space="preserve">Furnishing certain deceptive forms</w:t>
      </w:r>
    </w:p>
    <w:p>
      <w:pPr>
        <w:jc w:val="both"/>
        <w:spacing w:before="100" w:after="0"/>
        <w:ind w:start="360"/>
        <w:ind w:firstLine="360"/>
      </w:pPr>
      <w:r>
        <w:rPr>
          <w:b/>
        </w:rPr>
        <w:t>1</w:t>
        <w:t xml:space="preserve">.  </w:t>
      </w:r>
      <w:r>
        <w:rPr>
          <w:b/>
        </w:rPr>
        <w:t xml:space="preserve">Unlawful activity.</w:t>
        <w:t xml:space="preserve"> </w:t>
      </w:r>
      <w:r>
        <w:t xml:space="preserve"> </w:t>
      </w:r>
      <w:r>
        <w:t xml:space="preserve">It is unlawful to design, compile and furnish any form knowing that the form would be used to create the false belief in a consumer that a person other than the creditor of the consumer is participating in the collection of or in an attempt to collect a debt the consumer allegedly owed the creditor, when in fact that person is not so participating.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Extent of liability.</w:t>
        <w:t xml:space="preserve"> </w:t>
      </w:r>
      <w:r>
        <w:t xml:space="preserve"> </w:t>
      </w:r>
      <w:r>
        <w:t xml:space="preserve">Any person who violates this section shall be liable to the same extent and in the same manner as a debt collector is liable under </w:t>
      </w:r>
      <w:r>
        <w:t>section 11054</w:t>
      </w:r>
      <w:r>
        <w:t xml:space="preserve"> for failure to comply with a provision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§11016. Furnishing certain deceptive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§11016. Furnishing certain deceptive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§11016. FURNISHING CERTAIN DECEPTIVE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