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11033</w:t>
        <w:t xml:space="preserve">.  </w:t>
      </w:r>
      <w:r>
        <w:rPr>
          <w:b/>
        </w:rPr>
        <w:t xml:space="preserve">Prior convictions as disqualifications</w:t>
      </w:r>
    </w:p>
    <w:p>
      <w:pPr>
        <w:jc w:val="both"/>
        <w:spacing w:before="100" w:after="100"/>
        <w:ind w:start="360"/>
        <w:ind w:firstLine="360"/>
      </w:pPr>
      <w:r>
        <w:rPr/>
      </w:r>
      <w:r>
        <w:rPr/>
      </w:r>
      <w:r>
        <w:t xml:space="preserve">In evaluating a license application, the superintendent shall consider the criminal record of any individual applicant, of any partner, if the applicant is a partnership, of any officer or director, if the applicant is a corporation, or of any employee of the foregoing, in accordance with </w:t>
      </w:r>
      <w:r>
        <w:t>Title 5, chapter 341</w:t>
      </w:r>
      <w:r>
        <w:t xml:space="preserve">.  No license may be granted to any lawyer, whose license to practice law has been suspended or revoked, during the effective period of that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§11033. Prior convictions as disqualifications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§11033. Prior convictions as disqualifications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§11033. PRIOR CONVICTIONS AS DISQUALIFICATIONS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