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11035</w:t>
        <w:t xml:space="preserve">.  </w:t>
      </w:r>
      <w:r>
        <w:rPr>
          <w:b/>
        </w:rPr>
        <w:t xml:space="preserve">Advisory rulings</w:t>
      </w:r>
    </w:p>
    <w:p>
      <w:pPr>
        <w:jc w:val="both"/>
        <w:spacing w:before="100" w:after="100"/>
        <w:ind w:start="360"/>
        <w:ind w:firstLine="360"/>
      </w:pPr>
      <w:r>
        <w:rPr/>
      </w:r>
      <w:r>
        <w:rPr/>
      </w:r>
      <w:r>
        <w:t xml:space="preserve">The superintendent may issue advisory rulings pertaining to the applicability of any statutory provision or any rule adopted under this chapter and shall provide by rule for the filing and prompt disposition of requests for advisory rulings.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§11035. Advisory rulings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§11035. Advisory rulings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§11035. ADVISORY RULINGS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