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Criminal penalties</w:t>
      </w:r>
    </w:p>
    <w:p>
      <w:pPr>
        <w:jc w:val="both"/>
        <w:spacing w:before="100" w:after="0"/>
        <w:ind w:start="360"/>
        <w:ind w:firstLine="360"/>
      </w:pPr>
      <w:r>
        <w:rPr>
          <w:b/>
        </w:rPr>
        <w:t>1</w:t>
        <w:t xml:space="preserve">.  </w:t>
      </w:r>
      <w:r>
        <w:rPr>
          <w:b/>
        </w:rPr>
        <w:t xml:space="preserve">Knowing violation.</w:t>
        <w:t xml:space="preserve"> </w:t>
      </w:r>
      <w:r>
        <w:t xml:space="preserve"> </w:t>
      </w:r>
      <w:r>
        <w:t xml:space="preserve">Any person who knowingly violates any provision of this chapter or any rule or order of the administrator under this chapter is guilty of a Class C crime, except that, notwithstanding </w:t>
      </w:r>
      <w:r>
        <w:t>Title 17‑A, sections 1704</w:t>
      </w:r>
      <w:r>
        <w:t xml:space="preserve"> and </w:t>
      </w:r>
      <w:r>
        <w:t>1705</w:t>
      </w:r>
      <w:r>
        <w:t xml:space="preserve">, the maximum fine is $10,000 or any higher amount that does not exceed twice the pecuniary gain derived from the crime by the defendant pursuant to </w:t>
      </w:r>
      <w:r>
        <w:t>Title 17‑A, section 1706,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§83 (AMD).]</w:t>
      </w:r>
    </w:p>
    <w:p>
      <w:pPr>
        <w:jc w:val="both"/>
        <w:spacing w:before="100" w:after="0"/>
        <w:ind w:start="360"/>
        <w:ind w:firstLine="360"/>
      </w:pPr>
      <w:r>
        <w:rPr>
          <w:b/>
        </w:rPr>
        <w:t>2</w:t>
        <w:t xml:space="preserve">.  </w:t>
      </w:r>
      <w:r>
        <w:rPr>
          <w:b/>
        </w:rPr>
        <w:t xml:space="preserve">Prosecution.</w:t>
        <w:t xml:space="preserve"> </w:t>
      </w:r>
      <w:r>
        <w:t xml:space="preserve"> </w:t>
      </w:r>
      <w:r>
        <w:t xml:space="preserve">The administrator may refer such evidence as is available concerning violations of this chapter or any rule or order of the administrator to the Attorney General or the proper district attorney, who may, with or without such a reference from the administrator, institute the appropriate criminal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§78 (AMD). PL 2019, c. 113, Pt. C,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§11304.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§11304.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