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Examinations</w:t>
      </w:r>
    </w:p>
    <w:p>
      <w:pPr>
        <w:jc w:val="both"/>
        <w:spacing w:before="100" w:after="100"/>
        <w:ind w:start="360"/>
        <w:ind w:firstLine="360"/>
      </w:pPr>
      <w:r>
        <w:rPr/>
      </w:r>
      <w:r>
        <w:rPr/>
      </w:r>
      <w:r>
        <w:t xml:space="preserve">Applicants for licensure must present to the board a written application for examination and license containing such information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1999, c. 386, Pt. F, §16 (RPR).]</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§8 (RPR). PL 1967, c. 69, §8 (AMD). PL 1973, c. 363 (RPR). PL 1973, c. 725, §4 (AMD). PL 1975, c. 767, §38 (AMD). PL 1981, c. 577, §11 (AMD). PL 1983, c. 204, §3 (AMD). PL 1983, c. 553, §29 (AMD). PL 1987, c. 395, §B8 (AMD). PL 1987, c. 735, §56 (AMD). PL 1993, c. 659, §A3 (AMD). PL 1995, c. 325, §16 (AMD). PL 1997, c. 210, §5 (AMD). PL 1999, c. 386, §F16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