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12214</w:t>
        <w:t xml:space="preserve">.  </w:t>
      </w:r>
      <w:r>
        <w:rPr>
          <w:b/>
        </w:rPr>
        <w:t xml:space="preserve">Organization; powers and duties</w:t>
      </w:r>
    </w:p>
    <w:p>
      <w:pPr>
        <w:jc w:val="both"/>
        <w:spacing w:before="100" w:after="0"/>
        <w:ind w:start="360"/>
        <w:ind w:firstLine="360"/>
      </w:pPr>
      <w:r>
        <w:rPr>
          <w:b/>
        </w:rPr>
        <w:t>1</w:t>
        <w:t xml:space="preserve">.  </w:t>
      </w:r>
      <w:r>
        <w:rPr>
          <w:b/>
        </w:rPr>
        <w:t xml:space="preserve">Meetings; chair.</w:t>
        <w:t xml:space="preserve"> </w:t>
      </w:r>
      <w:r>
        <w:t xml:space="preserve"> </w:t>
      </w:r>
      <w:r>
        <w:t xml:space="preserve">The board shall meet at least once a year to conduct its business and to elect a chair, who must be a certified public accountant.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§21 (AMD).]</w:t>
      </w:r>
    </w:p>
    <w:p>
      <w:pPr>
        <w:jc w:val="both"/>
        <w:spacing w:before="100" w:after="0"/>
        <w:ind w:start="360"/>
        <w:ind w:firstLine="360"/>
      </w:pPr>
      <w:r>
        <w:rPr>
          <w:b/>
        </w:rPr>
        <w:t>2</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3</w:t>
        <w:t xml:space="preserve">.  </w:t>
      </w:r>
      <w:r>
        <w:rPr>
          <w:b/>
        </w:rPr>
        <w:t xml:space="preserve">Receipts and 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4</w:t>
        <w:t xml:space="preserve">.  </w:t>
      </w:r>
      <w:r>
        <w:rPr>
          <w:b/>
        </w:rPr>
        <w:t xml:space="preserve">Rules.</w:t>
        <w:t xml:space="preserve"> </w:t>
      </w:r>
      <w:r>
        <w:t xml:space="preserve"> </w:t>
      </w:r>
      <w:r>
        <w:t xml:space="preserve">The board may, in accordance with procedures established by the Maine Administrative Procedure Act, </w:t>
      </w:r>
      <w:r>
        <w:t>Title 5, chapter 375, subchapter II</w:t>
      </w:r>
      <w:r>
        <w:t xml:space="preserve">, adopt such rules as may be reasonably necessary for the proper performance of its duties and the administration of this chapter, including, but not limited to rules of professional conduct appropriate to establish and to maintain a high standard of integrity and of dignity in the profession of public accountancy and regulations prescribing requirements of continuing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5</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6</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§7 (RP).]</w:t>
      </w:r>
    </w:p>
    <w:p>
      <w:pPr>
        <w:jc w:val="both"/>
        <w:spacing w:before="100" w:after="0"/>
        <w:ind w:start="360"/>
        <w:ind w:firstLine="360"/>
      </w:pPr>
      <w:r>
        <w:rPr>
          <w:b/>
        </w:rPr>
        <w:t>7</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§8 (RP).]</w:t>
      </w:r>
    </w:p>
    <w:p>
      <w:pPr>
        <w:jc w:val="both"/>
        <w:spacing w:before="100" w:after="0"/>
        <w:ind w:start="360"/>
        <w:ind w:firstLine="360"/>
      </w:pPr>
      <w:r>
        <w:rPr>
          <w:b/>
        </w:rPr>
        <w:t>8</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10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§9 (RP).]</w:t>
      </w:r>
    </w:p>
    <w:p>
      <w:pPr>
        <w:jc w:val="both"/>
        <w:spacing w:before="100" w:after="0"/>
        <w:ind w:start="360"/>
        <w:ind w:firstLine="360"/>
      </w:pPr>
      <w:r>
        <w:rPr>
          <w:b/>
        </w:rPr>
        <w:t>10</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11</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483, §A53 (AMD). PL 1995, c. 397, §102 (AMD). PL 1995, c. 502, §H42 (AMD). PL 2007, c. 402, Pt. Z, §§6-10 (AMD). PL 2013, c. 246, Pt. B,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§12214. Organization;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§12214. Organization;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§12214. ORGANIZATION;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