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12277</w:t>
        <w:t xml:space="preserve">.  </w:t>
      </w:r>
      <w:r>
        <w:rPr>
          <w:b/>
        </w:rPr>
        <w:t xml:space="preserve">Unlicensed practice</w:t>
      </w:r>
    </w:p>
    <w:p>
      <w:pPr>
        <w:jc w:val="both"/>
        <w:spacing w:before="100" w:after="100"/>
        <w:ind w:start="360"/>
        <w:ind w:firstLine="360"/>
      </w:pPr>
      <w:r>
        <w:rPr/>
      </w:r>
      <w:r>
        <w:rPr/>
      </w:r>
      <w:r>
        <w:t xml:space="preserve">A person who violates </w:t>
      </w:r>
      <w:r>
        <w:t>section 12275</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Z, §26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2007, c. 402, Pt. Z, §26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§12277.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§12277.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§12277.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