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13174</w:t>
        <w:t xml:space="preserve">.  </w:t>
      </w:r>
      <w:r>
        <w:rPr>
          <w:b/>
        </w:rPr>
        <w:t xml:space="preserve">License denial</w:t>
      </w:r>
    </w:p>
    <w:p>
      <w:pPr>
        <w:jc w:val="both"/>
        <w:spacing w:before="100" w:after="100"/>
        <w:ind w:start="360"/>
        <w:ind w:firstLine="360"/>
      </w:pPr>
      <w:r>
        <w:rPr/>
      </w:r>
      <w:r>
        <w:rPr/>
      </w:r>
      <w:r>
        <w:t xml:space="preserve">A license may be denied to any agency applicant:</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Complete and accurate application.</w:t>
        <w:t xml:space="preserve"> </w:t>
      </w:r>
      <w:r>
        <w:t xml:space="preserve"> </w:t>
      </w:r>
      <w:r>
        <w:t xml:space="preserve">Who fails to submit a complete and accurate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Proof of qualifications.</w:t>
        <w:t xml:space="preserve"> </w:t>
      </w:r>
      <w:r>
        <w:t xml:space="preserve"> </w:t>
      </w:r>
      <w:r>
        <w:t xml:space="preserve">Who fails to submit satisfactory proof that it has met the qualifications specified in this chapter and is sufficiently trustworthy and competent to transact real estate brokerage services in such a manner as to safeguard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Conviction of crime.</w:t>
        <w:t xml:space="preserve"> </w:t>
      </w:r>
      <w:r>
        <w:t xml:space="preserve"> </w:t>
      </w:r>
      <w:r>
        <w:t xml:space="preserve">Subject to </w:t>
      </w:r>
      <w:r>
        <w:t>Title 5, chapter 341</w:t>
      </w:r>
      <w:r>
        <w:t xml:space="preserve">, if the owner or principal entity officials have been convicted of any Class A, B or C crime or any crime which bears directly on the practice of real estate brokerage;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Revocation of license.</w:t>
        <w:t xml:space="preserve"> </w:t>
      </w:r>
      <w:r>
        <w:t xml:space="preserve"> </w:t>
      </w:r>
      <w:r>
        <w:t xml:space="preserve">If the agency and its owner or its principal officers have had any professional or occupational license revoked for disciplinary reasons, or an application rejected for reasons relating to untrustworthiness, within 3 years prior to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§13174. License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§13174. License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§13174. LICENSE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