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13742-A</w:t>
        <w:t xml:space="preserve">.  </w:t>
      </w:r>
      <w:r>
        <w:rPr>
          <w:b/>
        </w:rPr>
        <w:t xml:space="preserve">Denial or refusal to renew license; disciplinary sanctions; crimes; criminal prosecutions</w:t>
      </w:r>
    </w:p>
    <w:p>
      <w:pPr>
        <w:jc w:val="both"/>
        <w:spacing w:before="100" w:after="100"/>
        <w:ind w:start="360"/>
        <w:ind w:firstLine="360"/>
      </w:pPr>
      <w:r>
        <w:rPr>
          <w:b/>
        </w:rPr>
        <w:t>1</w:t>
        <w:t xml:space="preserve">.  </w:t>
      </w:r>
      <w:r>
        <w:rPr>
          <w:b/>
        </w:rPr>
        <w:t xml:space="preserve">Disciplinary action.</w:t>
        <w:t xml:space="preserve"> </w:t>
      </w:r>
      <w:r>
        <w:t xml:space="preserve"> </w:t>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p>
    <w:p>
      <w:pPr>
        <w:jc w:val="both"/>
        <w:spacing w:before="100" w:after="0"/>
        <w:ind w:start="720"/>
      </w:pPr>
      <w:r>
        <w:rPr/>
        <w:t>A</w:t>
        <w:t xml:space="preserve">.  </w:t>
      </w:r>
      <w:r>
        <w:rPr/>
      </w:r>
      <w:r>
        <w:t xml:space="preserve">Misuse of alcohol, drugs or other substances that has resulted or  may result in the applicant or licensee performing duties in a manner that endangers the health or safety of patients;</w:t>
      </w:r>
      <w:r>
        <w:t xml:space="preserve">  </w:t>
      </w:r>
      <w:r xmlns:wp="http://schemas.openxmlformats.org/drawingml/2010/wordprocessingDrawing" xmlns:w15="http://schemas.microsoft.com/office/word/2012/wordml">
        <w:rPr>
          <w:rFonts w:ascii="Arial" w:hAnsi="Arial" w:cs="Arial"/>
          <w:sz w:val="22"/>
          <w:szCs w:val="22"/>
        </w:rPr>
        <w:t xml:space="preserve">[PL 2013, c. 105, §9 (AMD).]</w:t>
      </w:r>
    </w:p>
    <w:p>
      <w:pPr>
        <w:jc w:val="both"/>
        <w:spacing w:before="100" w:after="0"/>
        <w:ind w:start="720"/>
      </w:pPr>
      <w:r>
        <w:rPr/>
        <w:t>B</w:t>
        <w:t xml:space="preserve">.  </w:t>
      </w:r>
      <w:r>
        <w:rPr/>
      </w:r>
      <w:r>
        <w:t xml:space="preserve">A professional diagnosis of a mental or physical condition that has resulted or may result in the applicant or licensee performing duties in a manner that endangers the health or safety of patients;</w:t>
      </w:r>
      <w:r>
        <w:t xml:space="preserve">  </w:t>
      </w:r>
      <w:r xmlns:wp="http://schemas.openxmlformats.org/drawingml/2010/wordprocessingDrawing" xmlns:w15="http://schemas.microsoft.com/office/word/2012/wordml">
        <w:rPr>
          <w:rFonts w:ascii="Arial" w:hAnsi="Arial" w:cs="Arial"/>
          <w:sz w:val="22"/>
          <w:szCs w:val="22"/>
        </w:rPr>
        <w:t xml:space="preserve">[PL 2007, c. 402, Pt. DD, §19 (NEW).]</w:t>
      </w:r>
    </w:p>
    <w:p>
      <w:pPr>
        <w:jc w:val="both"/>
        <w:spacing w:before="100" w:after="0"/>
        <w:ind w:start="720"/>
      </w:pPr>
      <w:r>
        <w:rPr/>
        <w:t>C</w:t>
        <w:t xml:space="preserve">.  </w:t>
      </w:r>
      <w:r>
        <w:rPr/>
      </w:r>
      <w:r>
        <w:t xml:space="preserve">Engaging in unprofessional conduct by violating any standard of professional behavior, including but not limited to a breach of confidentiality of health care information pursuant to state law, that has been established in the practice for which the licensee is licensed;</w:t>
      </w:r>
      <w:r>
        <w:t xml:space="preserve">  </w:t>
      </w:r>
      <w:r xmlns:wp="http://schemas.openxmlformats.org/drawingml/2010/wordprocessingDrawing" xmlns:w15="http://schemas.microsoft.com/office/word/2012/wordml">
        <w:rPr>
          <w:rFonts w:ascii="Arial" w:hAnsi="Arial" w:cs="Arial"/>
          <w:sz w:val="22"/>
          <w:szCs w:val="22"/>
        </w:rPr>
        <w:t xml:space="preserve">[PL 2017, c. 434, §2 (AMD).]</w:t>
      </w:r>
    </w:p>
    <w:p>
      <w:pPr>
        <w:jc w:val="both"/>
        <w:spacing w:before="100" w:after="0"/>
        <w:ind w:start="720"/>
      </w:pPr>
      <w:r>
        <w:rPr/>
        <w:t>D</w:t>
        <w:t xml:space="preserve">.  </w:t>
      </w:r>
      <w:r>
        <w:rPr/>
      </w:r>
      <w:r>
        <w:t xml:space="preserve">Engaging in false, misleading or deceptive advertising;</w:t>
      </w:r>
      <w:r>
        <w:t xml:space="preserve">  </w:t>
      </w:r>
      <w:r xmlns:wp="http://schemas.openxmlformats.org/drawingml/2010/wordprocessingDrawing" xmlns:w15="http://schemas.microsoft.com/office/word/2012/wordml">
        <w:rPr>
          <w:rFonts w:ascii="Arial" w:hAnsi="Arial" w:cs="Arial"/>
          <w:sz w:val="22"/>
          <w:szCs w:val="22"/>
        </w:rPr>
        <w:t xml:space="preserve">[PL 2019, c. 165, §27 (AMD).]</w:t>
      </w:r>
    </w:p>
    <w:p>
      <w:pPr>
        <w:jc w:val="both"/>
        <w:spacing w:before="100" w:after="0"/>
        <w:ind w:start="720"/>
      </w:pPr>
      <w:r>
        <w:rPr/>
        <w:t>E</w:t>
        <w:t xml:space="preserve">.  </w:t>
      </w:r>
      <w:r>
        <w:rPr/>
      </w:r>
      <w:r>
        <w:t xml:space="preserve">Failing to comply with </w:t>
      </w:r>
      <w:r>
        <w:t>section 13800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303, §2 (AMD).]</w:t>
      </w:r>
    </w:p>
    <w:p>
      <w:pPr>
        <w:jc w:val="both"/>
        <w:spacing w:before="100" w:after="0"/>
        <w:ind w:start="720"/>
      </w:pPr>
      <w:r>
        <w:rPr/>
        <w:t>F</w:t>
        <w:t xml:space="preserve">.  </w:t>
      </w:r>
      <w:r>
        <w:rPr/>
      </w:r>
      <w:r>
        <w:t xml:space="preserve">A violation of </w:t>
      </w:r>
      <w:r>
        <w:t>section 13800‑B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303, §3 (AMD).]</w:t>
      </w:r>
    </w:p>
    <w:p>
      <w:pPr>
        <w:jc w:val="both"/>
        <w:spacing w:before="100" w:after="0"/>
        <w:ind w:start="720"/>
      </w:pPr>
      <w:r>
        <w:rPr/>
        <w:t>G</w:t>
        <w:t xml:space="preserve">.  </w:t>
      </w:r>
      <w:r>
        <w:rPr/>
      </w:r>
      <w:r>
        <w:t xml:space="preserve">A violation of </w:t>
      </w:r>
      <w:r>
        <w:t>section 13725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303, §4 (NEW).]</w:t>
      </w:r>
    </w:p>
    <w:p>
      <w:pPr>
        <w:jc w:val="both"/>
        <w:spacing w:before="100" w:after="0"/>
        <w:ind w:start="360"/>
      </w:pPr>
      <w:r>
        <w:rPr/>
      </w:r>
      <w:r>
        <w:rPr/>
      </w:r>
      <w:r>
        <w:t xml:space="preserve">This subsection applies to all types of licenses issued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§§2-4 (AMD).]</w:t>
      </w:r>
    </w:p>
    <w:p>
      <w:pPr>
        <w:jc w:val="both"/>
        <w:spacing w:before="100" w:after="0"/>
        <w:ind w:start="360"/>
        <w:ind w:firstLine="360"/>
      </w:pPr>
      <w:r>
        <w:rPr>
          <w:b/>
        </w:rPr>
        <w:t>2</w:t>
        <w:t xml:space="preserve">.  </w:t>
      </w:r>
      <w:r>
        <w:rPr>
          <w:b/>
        </w:rPr>
        <w:t xml:space="preserve">Crime in course of business.</w:t>
        <w:t xml:space="preserve"> </w:t>
      </w:r>
      <w:r>
        <w:t xml:space="preserve"> </w:t>
      </w:r>
      <w:r>
        <w:t xml:space="preserve">If any licensed pharmacist is convicted in state or federal court of a crime that is committed during the course of duties performed as a licensed pharmacist or committed through the use of the pharmacy in which the pharmacist is employed, or that the pharmacist owns or operates, and that demonstrates unfitness to practice as a pharmacist, including, but not limited to, convictions for defrauding the Medicaid program and for illegally distributing prescription drugs, the pharmacist's license is subject to disciplinary action as set forth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§19 (NEW).]</w:t>
      </w:r>
    </w:p>
    <w:p>
      <w:pPr>
        <w:jc w:val="both"/>
        <w:spacing w:before="100" w:after="0"/>
        <w:ind w:start="360"/>
        <w:ind w:firstLine="360"/>
      </w:pPr>
      <w:r>
        <w:rPr>
          <w:b/>
        </w:rPr>
        <w:t>3</w:t>
        <w:t xml:space="preserve">.  </w:t>
      </w:r>
      <w:r>
        <w:rPr>
          <w:b/>
        </w:rPr>
        <w:t xml:space="preserve">Criminal prosecutions.</w:t>
        <w:t xml:space="preserve"> </w:t>
      </w:r>
      <w:r>
        <w:t xml:space="preserve"> </w:t>
      </w:r>
      <w:r>
        <w:t xml:space="preserve">Nothing in this chapter bars criminal prosecution for any violation of this chapter when that violation is a criminal offense under the laws of this State or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§19 (NEW).]</w:t>
      </w:r>
    </w:p>
    <w:p>
      <w:pPr>
        <w:jc w:val="both"/>
        <w:spacing w:before="100" w:after="0"/>
        <w:ind w:start="360"/>
        <w:ind w:firstLine="360"/>
      </w:pPr>
      <w:r>
        <w:rPr>
          <w:b/>
        </w:rPr>
        <w:t>4</w:t>
        <w:t xml:space="preserve">.  </w:t>
      </w:r>
      <w:r>
        <w:rPr>
          <w:b/>
        </w:rPr>
        <w:t xml:space="preserve">Injunction.</w:t>
        <w:t xml:space="preserve"> </w:t>
      </w:r>
      <w:r>
        <w:t xml:space="preserve"> </w:t>
      </w:r>
      <w:r>
        <w:t xml:space="preserve">Notwithstanding any other provision of law, the Attorney General may seek injunctive relief against a person who violates </w:t>
      </w:r>
      <w:r>
        <w:t>subsection 1, paragraph E</w:t>
      </w:r>
      <w:r>
        <w:t xml:space="preserve">.  If the Attorney General prevails in an action under this subsection, the court must order the person to reimburse the State for the Attorney General's costs of prosecuting the action,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§19 (NEW). PL 2013, c. 105, §9 (AMD). PL 2017, c. 434, §§2-4 (AMD). PL 2019, c. 165, §§27-29 (AMD). PL 2021, c. 303,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§13742-A. Denial or refusal to renew license; disciplinary sanctions; crimes; criminal prosecutions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§13742-A. Denial or refusal to renew license; disciplinary sanctions; crimes; criminal prosecutions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§13742-A. DENIAL OR REFUSAL TO RENEW LICENSE; DISCIPLINARY SANCTIONS; CRIMES; CRIMINAL PROSECUTIONS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