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13774</w:t>
        <w:t xml:space="preserve">.  </w:t>
      </w:r>
      <w:r>
        <w:rPr>
          <w:b/>
        </w:rPr>
        <w:t xml:space="preserve">Denial of payment</w:t>
      </w:r>
    </w:p>
    <w:p>
      <w:pPr>
        <w:jc w:val="both"/>
        <w:spacing w:before="100" w:after="100"/>
        <w:ind w:start="360"/>
        <w:ind w:firstLine="360"/>
      </w:pPr>
      <w:r>
        <w:rPr/>
      </w:r>
      <w:r>
        <w:rPr/>
      </w:r>
      <w:r>
        <w:t xml:space="preserve">No program administrator may deny to any pharmacy payment for services  which may have resulted from the fraudulent or illegal use of an identification card by any person, unless the pharmacy has been notified that the card has been canceled or discontinued and that the program administrator has been unsuccessful in attempting to regain possession of the card.</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§13774. Denial of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§13774. Denial of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§13774. DENIAL OF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