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13777</w:t>
        <w:t xml:space="preserve">.  </w:t>
      </w:r>
      <w:r>
        <w:rPr>
          <w:b/>
        </w:rPr>
        <w:t xml:space="preserve">Exceptions</w:t>
      </w:r>
    </w:p>
    <w:p>
      <w:pPr>
        <w:jc w:val="both"/>
        <w:spacing w:before="100" w:after="100"/>
        <w:ind w:start="360"/>
        <w:ind w:firstLine="360"/>
      </w:pPr>
      <w:r>
        <w:rPr/>
      </w:r>
      <w:r>
        <w:rPr/>
      </w:r>
      <w:r>
        <w:t xml:space="preserve">This Act does not apply to any medical assistance or public health programs administered by the Department of Health and Human Services, including, but not limited to, the Medicaid program and the Low Cost Drug Program; to any employee benefit plan that is subject to the Employee Retirement Income Security Act of 1974, 29 United States Code, Section 1001, et seq.; and to any 3rd-party prescription programs administered in accordance with and subject to the limitations of the former Nonprofit Service Organizations Preferred Provider Arrangement Act of 1985, Title 24, chapter 19, subchapter II, or the Preferred Provider Arrangement Act, </w:t>
      </w:r>
      <w:r>
        <w:t>Title 24‑A,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790, Pt. A, §39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§2 (AMD). PL 1999, c. 790, §A39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