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13789</w:t>
        <w:t xml:space="preserve">.  </w:t>
      </w:r>
      <w:r>
        <w:rPr>
          <w:b/>
        </w:rPr>
        <w:t xml:space="preserve">Possession of drug samples</w:t>
      </w:r>
    </w:p>
    <w:p>
      <w:pPr>
        <w:jc w:val="both"/>
        <w:spacing w:before="100" w:after="100"/>
        <w:ind w:start="360"/>
        <w:ind w:firstLine="360"/>
      </w:pPr>
      <w:r>
        <w:rPr/>
      </w:r>
      <w:r>
        <w:rPr/>
      </w:r>
      <w:r>
        <w:t xml:space="preserve">No person may purchase manufacturers' drug samples from any person for purposes of resale. If those samples are given gratuitously to a licensed pharmacist, qualified assistant pharmacist or medical practitioner, any such sample may be given to any person, as long as the sample is kept in containers suitably labeled to conform to the Federal Food and Drug Act and the state food and drug laws and this gift is subject to the laws relating to the sale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§13789. Possession of drug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§13789. Possession of drug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§13789. POSSESSION OF DRUG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