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§13796. RETAIL SALE OF TARGETED METHAMPHETAMINE PRECURSORS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