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13841</w:t>
        <w:t xml:space="preserve">.  </w:t>
      </w:r>
      <w:r>
        <w:rPr>
          <w:b/>
        </w:rPr>
        <w:t xml:space="preserve">Authority</w:t>
      </w:r>
    </w:p>
    <w:p>
      <w:pPr>
        <w:jc w:val="both"/>
        <w:spacing w:before="100" w:after="0"/>
        <w:ind w:start="360"/>
        <w:ind w:firstLine="360"/>
      </w:pPr>
      <w:r>
        <w:rPr>
          <w:b/>
        </w:rPr>
        <w:t>1</w:t>
        <w:t xml:space="preserve">.  </w:t>
      </w:r>
      <w:r>
        <w:rPr>
          <w:b/>
        </w:rPr>
        <w:t xml:space="preserve">Engage in collaborative drug therapy management.</w:t>
        <w:t xml:space="preserve"> </w:t>
      </w:r>
      <w:r>
        <w:t xml:space="preserve"> </w:t>
      </w:r>
      <w:r>
        <w:t xml:space="preserve">A pharmacist licensed in this State who meets the qualifications and requirements of </w:t>
      </w:r>
      <w:r>
        <w:t>section 13842</w:t>
      </w:r>
      <w:r>
        <w:t xml:space="preserve"> and rules adopted by the board may engage in collaborative drug therapy management pursuant to a collaborative practice agreement with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Scope of authority.</w:t>
        <w:t xml:space="preserve"> </w:t>
      </w:r>
      <w:r>
        <w:t xml:space="preserve"> </w:t>
      </w:r>
      <w:r>
        <w:t xml:space="preserve">A pharmacist engaging in collaborative drug therapy management pursuant to </w:t>
      </w:r>
      <w:r>
        <w:t>subsection 1</w:t>
      </w:r>
      <w:r>
        <w:t xml:space="preserve"> is entitled to adequate access to a patient's history, disease status, drug therapy and laboratory and procedure results and may:</w:t>
      </w:r>
    </w:p>
    <w:p>
      <w:pPr>
        <w:jc w:val="both"/>
        <w:spacing w:before="100" w:after="0"/>
        <w:ind w:start="720"/>
      </w:pPr>
      <w:r>
        <w:rPr/>
        <w:t>A</w:t>
        <w:t xml:space="preserve">.  </w:t>
      </w:r>
      <w:r>
        <w:rPr/>
      </w:r>
      <w:r>
        <w:t xml:space="preserve">Collect and review a patient's history;</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Obtain and check vital signs;</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Order and evaluate the results of laboratory tests directly related to drug therapy under the supervision of, or in direct consultation with, a practitioner and in accordance with approved protocols applicable to the practice setting and when the evaluation does not include a diagnostic component;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Initiate, administer, monitor, modify and discontinue drug therapy for a particular patient pursuant to the collaborative practice agreement with a practitioner who is treating the patient, as long as the action is reported to the practitioner in a timely manner as determined by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