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13842</w:t>
        <w:t xml:space="preserve">.  </w:t>
      </w:r>
      <w:r>
        <w:rPr>
          <w:b/>
        </w:rPr>
        <w:t xml:space="preserve">Qualifications</w:t>
      </w:r>
    </w:p>
    <w:p>
      <w:pPr>
        <w:jc w:val="both"/>
        <w:spacing w:before="100" w:after="100"/>
        <w:ind w:start="360"/>
        <w:ind w:firstLine="360"/>
      </w:pPr>
      <w:r>
        <w:rPr/>
      </w:r>
      <w:r>
        <w:rPr/>
      </w:r>
      <w:r>
        <w:t xml:space="preserve">In order to enter into a collaborative practice agreement with a practitioner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Possesses certification from the Board of Pharmacy Specialties or successor organization or has completed an accredited residency program.  If the residency program is not in the area of practice covered by the agreement, the pharmacist must complete a continuing education certificate program of at least 15 hours of continuing education in each clinical area of practice covered by the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has 2 years of professional experience and has completed a continuing education certificate program of at least 15 hours of continuing education in each clinical area of practice covered by the agreement; or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Has graduated with a Bachelor of Science in Pharmacy degree from a college of pharmacy accredited by the American Council on Pharmaceutical Education, has 3 years of professional experience and has completed a continuing education certificate program of at least 15 hours of continuing education in each clinical area of practice covered by the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