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14036</w:t>
        <w:t xml:space="preserve">.  </w:t>
      </w:r>
      <w:r>
        <w:rPr>
          <w:b/>
        </w:rPr>
        <w:t xml:space="preserve">Certified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residential real property appraiser license entitles the holder to appraise residential real estate or real property of one to 4 residential units, without regard to value or complexity and to appraise vacant or unimproved land that is to be used for one to 4 family units or for which the highest and best use is for one to 4 family units.  A certified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residential real property appraiser license must meet the licensing requirements established by the appraiser qualifications board.  As a prerequisite to taking the examination required by </w:t>
      </w:r>
      <w:r>
        <w:t>section 14036‑A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§8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§2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§9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 PL 2009, c. 112, Pt. A, §22 (AMD). PL 2011, c. 286, Pt. L, §4 (AMD). PL 2013, c. 547, §§8, 9 (AMD). PL 2013, c. 547, §19 (AFF). PL 2019, c. 503,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§14036. Certified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§14036. Certified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§14036. CERTIFIED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