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 one or more of the following:</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providing administrative services such as receiving appraisal orders and appraisal reports, submitting completed appraisal reports to creditors and secondary market participants, collecting fees from creditors and secondary market participants for services provided and 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2023, c. 543, §3 (AMD).]</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§3 (AMD).]</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the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§4 (AMD).]</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2023, c. 543,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