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14045</w:t>
        <w:t xml:space="preserve">.  </w:t>
      </w:r>
      <w:r>
        <w:rPr>
          <w:b/>
        </w:rPr>
        <w:t xml:space="preserve">Fees</w:t>
      </w:r>
    </w:p>
    <w:p>
      <w:pPr>
        <w:jc w:val="both"/>
        <w:spacing w:before="100" w:after="0"/>
        <w:ind w:start="360"/>
        <w:ind w:firstLine="360"/>
      </w:pPr>
      <w:r>
        <w:rPr>
          <w:b/>
        </w:rPr>
        <w:t>1</w:t>
        <w:t xml:space="preserve">.  </w:t>
      </w:r>
      <w:r>
        <w:rPr>
          <w:b/>
        </w:rPr>
        <w:t xml:space="preserve">Fee established by rule.</w:t>
        <w:t xml:space="preserve"> </w:t>
      </w:r>
      <w:r>
        <w:t xml:space="preserve"> </w:t>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$450 annually.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w:t>
        <w:t xml:space="preserve">.  </w:t>
      </w:r>
      <w:r>
        <w:rPr>
          <w:b/>
        </w:rPr>
        <w:t xml:space="preserve">National registry fees.</w:t>
        <w:t xml:space="preserve"> </w:t>
      </w:r>
      <w:r>
        <w:t xml:space="preserve"> </w:t>
      </w:r>
      <w:r>
        <w:t xml:space="preserve">The board may collect from an applicant for licensure under this chapter and from a licensee and remit to the appropriate agency or instrumentality of the Federal Government any additional fees required to provide appraisal management services in connection with federally related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§14045.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§14045.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§14045.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