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14231</w:t>
        <w:t xml:space="preserve">.  </w:t>
      </w:r>
      <w:r>
        <w:rPr>
          <w:b/>
        </w:rPr>
        <w:t xml:space="preserve">Examination eligibility for out-of-state applicants</w:t>
      </w:r>
    </w:p>
    <w:p>
      <w:pPr>
        <w:jc w:val="both"/>
        <w:spacing w:before="100" w:after="100"/>
        <w:ind w:start="360"/>
        <w:ind w:firstLine="360"/>
      </w:pPr>
      <w:r>
        <w:rPr/>
      </w:r>
      <w:r>
        <w:rPr/>
      </w:r>
      <w:r>
        <w:t xml:space="preserve">The director may issue a license to any applicant who presents proof of being licensed to practice by another state or other jurisdiction of the United States as long as no cause exists for denial of a license under </w:t>
      </w:r>
      <w:r>
        <w:t>section 14236‑A</w:t>
      </w:r>
      <w:r>
        <w:t xml:space="preserve">.  The director may grant a license to any applicant who presents proof of being licensed in another country that maintains professional standards considered by the director to be equivalent to or higher than those set forth in this chapter, as long as no cause exists for denial of a license under section 14236‑A.  Such an applicant must pay the fee as provided in </w:t>
      </w:r>
      <w:r>
        <w:t>section 14238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373, §36 (AMD).]</w:t>
      </w:r>
    </w:p>
    <w:p>
      <w:pPr>
        <w:jc w:val="both"/>
        <w:spacing w:before="100" w:after="100"/>
        <w:ind w:start="360"/>
        <w:ind w:firstLine="360"/>
      </w:pPr>
      <w:r>
        <w:rPr/>
      </w:r>
      <w:r>
        <w:rPr/>
      </w:r>
      <w:r>
        <w:t xml:space="preserve">An applicant who does not hold a current license issued by another state or other jurisdiction of the United States or another country may qualify for examination if the applicant presents proof of having satisfactorily completed a course of instruction in a licensed school or approved experience as a trainee considered by the director to have standards equivalent to or higher than the standards for instruction or experience set forth by this chapter, as long as no cause exists for denial of a license under </w:t>
      </w:r>
      <w:r>
        <w:t>section 14236‑A</w:t>
      </w:r>
      <w:r>
        <w:t xml:space="preserve">.  The applicant must also comply with all other requirements to become licensed and must pay the fee provided in </w:t>
      </w:r>
      <w:r>
        <w:t>section 14238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286, Pt. M,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287, §1 (AMD). PL 2007, c. 402, Pt. HH, §18 (AMD). PL 2009, c. 369, Pt. B, §29 (AMD). PL 2011, c. 286, Pt. M, §25 (AMD). PL 2019, c. 373, §36 (AMD). PL 2021, c. 642, §44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§14231. Examination eligibility for out-of-state applicants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§14231. Examination eligibility for out-of-state applicants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§14231. EXAMINATION ELIGIBILITY FOR OUT-OF-STATE APPLICANTS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