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14310</w:t>
        <w:t xml:space="preserve">.  </w:t>
      </w:r>
      <w:r>
        <w:rPr>
          <w:b/>
        </w:rPr>
        <w:t xml:space="preserve">Home rule</w:t>
      </w:r>
    </w:p>
    <w:p>
      <w:pPr>
        <w:jc w:val="both"/>
        <w:spacing w:before="100" w:after="100"/>
        <w:ind w:start="360"/>
        <w:ind w:firstLine="360"/>
      </w:pPr>
      <w:r>
        <w:rPr/>
      </w:r>
      <w:r>
        <w:rPr/>
      </w:r>
      <w:r>
        <w:t xml:space="preserve">Nothing in this chapter prohibits a municipality from adopting or enforcing an ordinance that regulates massage, massage practitioners or massage therapists.  If a municipality adopts such an ordinance, an individual must comply with the provisions of this chapter and any provision of the local ordinance that is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1993, c. 245,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§14310.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§14310.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§14310.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