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14360</w:t>
        <w:t xml:space="preserve">.  </w:t>
      </w:r>
      <w:r>
        <w:rPr>
          <w:b/>
        </w:rPr>
        <w:t xml:space="preserve">Temporary licenses</w:t>
      </w:r>
    </w:p>
    <w:p>
      <w:pPr>
        <w:jc w:val="both"/>
        <w:spacing w:before="100" w:after="100"/>
        <w:ind w:start="360"/>
        <w:ind w:firstLine="360"/>
      </w:pPr>
      <w:r>
        <w:rPr/>
      </w:r>
      <w:r>
        <w:rPr/>
      </w:r>
      <w:r>
        <w:t xml:space="preserve">A temporary license may be granted to a person who has completed the education and experience requirements of this chapter and has submitted the license fee as set under </w:t>
      </w:r>
      <w:r>
        <w:t>section 14358</w:t>
      </w:r>
      <w:r>
        <w:t xml:space="preserve">.  This license allows the person to use the title "student athletic trainer" when practicing under the direction of a licensed athletic trainer.  This license becomes invalid after 6 months or upon failure by the licensee of the National Athletic Trainers' Association Board of Certification examination, whichever event occurs first.  The license may not be renewed.</w:t>
      </w:r>
      <w:r>
        <w:t xml:space="preserve">  </w:t>
      </w:r>
      <w:r xmlns:wp="http://schemas.openxmlformats.org/drawingml/2010/wordprocessingDrawing" xmlns:w15="http://schemas.microsoft.com/office/word/2012/wordml">
        <w:rPr>
          <w:rFonts w:ascii="Arial" w:hAnsi="Arial" w:cs="Arial"/>
          <w:sz w:val="22"/>
          <w:szCs w:val="22"/>
        </w:rPr>
        <w:t xml:space="preserve">[PL 2007, c. 402, Pt. JJ,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PL 2007, c. 402, Pt. JJ,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§14360. Temporary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§14360. Temporary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§14360. TEMPORARY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