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Renewal</w:t>
      </w:r>
    </w:p>
    <w:p>
      <w:pPr>
        <w:jc w:val="both"/>
        <w:spacing w:before="100" w:after="100"/>
        <w:ind w:start="360"/>
        <w:ind w:firstLine="360"/>
      </w:pPr>
      <w:r>
        <w:rPr/>
      </w:r>
      <w:r>
        <w:rPr/>
      </w:r>
      <w:r>
        <w:t xml:space="preserve">All licenses must be renewed annually on or before June 30th of each year or at such other time as the director may designate.  A license not renewed by June 30th automatically expires.  A license may be renewed up to 90 days after the license expiration date upon payment of a late fee in addition to the renewal fee as set under </w:t>
      </w:r>
      <w:r>
        <w:t>section 1527</w:t>
      </w:r>
      <w:r>
        <w:t xml:space="preserve">.  A person who submits an application for renewal more than 90 days after the license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§3 (AMD). PL 2007, c. 402, Pt. K, §7 (AMD). PL 2019, c. 284,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§1528.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§1528.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