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16505</w:t>
        <w:t xml:space="preserve">.  </w:t>
      </w:r>
      <w:r>
        <w:rPr>
          <w:b/>
        </w:rPr>
        <w:t xml:space="preserve">Misleading filings</w:t>
      </w:r>
    </w:p>
    <w:p>
      <w:pPr>
        <w:jc w:val="both"/>
        <w:spacing w:before="100" w:after="100"/>
        <w:ind w:start="360"/>
        <w:ind w:firstLine="360"/>
      </w:pPr>
      <w:r>
        <w:rPr/>
      </w:r>
      <w:r>
        <w:rPr/>
      </w:r>
      <w:r>
        <w:t xml:space="preserve">It is unlawful for a person to make or cause to be made in a record that is used in an action or proceeding or filed under this chapter a statement that, at the time and in the light of the circumstances under which it is made, is false or misleading in a material respect or, in connection with the statement, to omit to state a material fact necessary to make the statement made, in the light of the circumstances under which it was made, not false or misleading.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§16505. Misleading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§16505. Misleading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§16505. MISLEADING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