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16529</w:t>
        <w:t xml:space="preserve">.  </w:t>
      </w:r>
      <w:r>
        <w:rPr>
          <w:b/>
        </w:rPr>
        <w:t xml:space="preserve">Claimant convicted of forgery, fraud, deception or falsification forfeits restitution assistance award; recovery</w:t>
      </w:r>
    </w:p>
    <w:p>
      <w:pPr>
        <w:jc w:val="both"/>
        <w:spacing w:before="100" w:after="0"/>
        <w:ind w:start="360"/>
        <w:ind w:firstLine="360"/>
      </w:pPr>
      <w:r>
        <w:rPr>
          <w:b/>
        </w:rPr>
        <w:t>1</w:t>
        <w:t xml:space="preserve">.  </w:t>
      </w:r>
      <w:r>
        <w:rPr>
          <w:b/>
        </w:rPr>
        <w:t xml:space="preserve">Conviction in connection with claim.</w:t>
        <w:t xml:space="preserve"> </w:t>
      </w:r>
      <w:r>
        <w:t xml:space="preserve"> </w:t>
      </w:r>
      <w:r>
        <w:t xml:space="preserve">A claimant convicted of any crime involving forgery, fraud, deception or falsification in connection with a claim made under this subchapter forfeits any restitution assistance award paid to the claimant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Civil action for recovery.</w:t>
        <w:t xml:space="preserve"> </w:t>
      </w:r>
      <w:r>
        <w:t xml:space="preserve"> </w:t>
      </w:r>
      <w:r>
        <w:t xml:space="preserve">The administrator may request that the Attorney General bring a civil action in accordance with </w:t>
      </w:r>
      <w:r>
        <w:t>section 16603</w:t>
      </w:r>
      <w:r>
        <w:t xml:space="preserve"> to recover funds awarded to a claimant convicted of any crime involving forgery, fraud, deception or falsification in connection with a claim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§16529. Claimant convicted of forgery, fraud, deception or falsification forfeits restitution assistance award;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§16529. Claimant convicted of forgery, fraud, deception or falsification forfeits restitution assistance award;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§16529. CLAIMANT CONVICTED OF FORGERY, FRAUD, DECEPTION OR FALSIFICATION FORFEITS RESTITUTION ASSISTANCE AWARD;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