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Board to administer, coordinate and enforce.</w:t>
        <w:t xml:space="preserve"> </w:t>
      </w:r>
      <w:r>
        <w:t xml:space="preserve"> </w:t>
      </w:r>
      <w:r>
        <w:t xml:space="preserve">The board shall administer, coordinate and enforce this chapter and evaluate the qualifications of and approve the examinations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adopt rules commensurate with the authority vested in it by this chapter, including, but not limited to, rules relating to professional conduct and establishing ethical standards of practice. The board, by rule, shall set the standard of professional conduct of every individual that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