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Disclosure of information on priority food contact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food package for sale in the State that contains a priority food contact chemical in any amount greater than a de minimis level shall notify the department in writing unless waived by the commissioner pursuant to this section.  This written notice must be made within 180 days after a priority food contact chemical is designated.  If the sale in the State of a food package by a manufacturer or distributor does not commence until after the 180-day reporting period ends, this written notice must be made within 30 days of sale of the food package in the State.  This written notice must identify the food package, the number of units sold or distributed for sale in the State or nationally, the priority food contact chemical or chemicals contained in the food package, the amount of such chemicals in each unit of the food package and the intended purpose of the chemicals in the food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food package that contains a priority food contact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priority food contact chemical will be released from the food package to the environment during the food package's life cycle and the extent to which users of the food package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Information on the extent to which the priority food contact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food contact chemical and the reason the chemical is used in the manufacture of the food package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manufacturer or distributor of a food package that contains a priority food contact chemical may provide additional information to the department regarding the potential for harm to human health and the environment from specific uses of the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food contact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food contact chemical in a food package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Failure to provide notice.</w:t>
        <w:t xml:space="preserve"> </w:t>
      </w:r>
      <w:r>
        <w:t xml:space="preserve"> </w:t>
      </w:r>
      <w:r>
        <w:t xml:space="preserve">A food package containing a priority food contact chemical may not be sold, offered for sale or distributed for sale in the State if the manufacturer or distributor has failed to provide the information required in this section by the date required in this section.  The commissioner shall exempt a food package from this prohibition if, in the commissioner's judgment, the lack of availability of the food package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§1744. Disclosure of information on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Disclosure of information on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§1744. DISCLOSURE OF INFORMATION ON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