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17504</w:t>
        <w:t xml:space="preserve">.  </w:t>
      </w:r>
      <w:r>
        <w:rPr>
          <w:b/>
        </w:rPr>
        <w:t xml:space="preserve">Compact privilege</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an audiologist or speech-language pathologist must:</w:t>
      </w:r>
    </w:p>
    <w:p>
      <w:pPr>
        <w:jc w:val="both"/>
        <w:spacing w:before="100" w:after="0"/>
        <w:ind w:start="720"/>
      </w:pPr>
      <w:r>
        <w:rPr/>
        <w:t>A</w:t>
        <w:t xml:space="preserve">.  </w:t>
      </w:r>
      <w:r>
        <w:rPr/>
      </w:r>
      <w:r>
        <w:t xml:space="preserve">Hold an active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no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Be eligible for a compact privilege in any member state in accordance with </w:t>
      </w:r>
      <w:r>
        <w:t>section 17503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had any adverse action against any license or compact privilege within the previous 2 years from date of application;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Pay any applicable fees, including any state fee, for the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audiology or speech-language pathology services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Regulatory authority of remote state.</w:t>
        <w:t xml:space="preserve"> </w:t>
      </w:r>
      <w:r>
        <w:t xml:space="preserve"> </w:t>
      </w:r>
      <w:r>
        <w:t xml:space="preserve">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§17504.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§17504.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§17504.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