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18102</w:t>
        <w:t xml:space="preserve">.  </w:t>
      </w:r>
      <w:r>
        <w:rPr>
          <w:b/>
        </w:rPr>
        <w:t xml:space="preserve">License required</w:t>
      </w:r>
    </w:p>
    <w:p>
      <w:pPr>
        <w:jc w:val="both"/>
        <w:spacing w:before="100" w:after="100"/>
        <w:ind w:start="360"/>
        <w:ind w:firstLine="360"/>
      </w:pPr>
      <w:r>
        <w:rPr/>
      </w:r>
      <w:r>
        <w:rPr/>
      </w:r>
      <w:r>
        <w:t xml:space="preserve">A person who installs or services solid fuel burning equipment, including pellet-fired central heating appliances, or oil, propane or natural gas burning equipment and a facility where propane or natural gas is dispensed must be licensed under this chapter, except as provided under </w:t>
      </w:r>
      <w:r>
        <w:t>section 18104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2015, c. 169,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§18102.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§18102.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