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18350</w:t>
        <w:t xml:space="preserve">.  </w:t>
      </w:r>
      <w:r>
        <w:rPr>
          <w:b/>
        </w:rPr>
        <w:t xml:space="preserve">Continuing education</w:t>
      </w:r>
    </w:p>
    <w:p>
      <w:pPr>
        <w:jc w:val="both"/>
        <w:spacing w:before="100" w:after="100"/>
        <w:ind w:start="360"/>
        <w:ind w:firstLine="360"/>
      </w:pPr>
      <w:r>
        <w:rPr/>
      </w:r>
      <w:r>
        <w:rPr/>
      </w:r>
      <w:r>
        <w:t xml:space="preserve">As a condition of renewal of a license to practice, an applicant must have a current basic life support certification and complete continuing education during the licensing cycle prior to application for renewal. The board may prescribe by rule the content and types of continuing education activities that meet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354,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354,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§18350.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§18350.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§18350.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