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18445</w:t>
        <w:t xml:space="preserve">.  </w:t>
      </w:r>
      <w:r>
        <w:rPr>
          <w:b/>
        </w:rPr>
        <w:t xml:space="preserve">Legislative intent</w:t>
      </w:r>
    </w:p>
    <w:p>
      <w:pPr>
        <w:jc w:val="both"/>
        <w:spacing w:before="100" w:after="100"/>
        <w:ind w:start="360"/>
        <w:ind w:firstLine="360"/>
      </w:pPr>
      <w:r>
        <w:rPr/>
      </w:r>
      <w:r>
        <w:rPr/>
      </w:r>
      <w:r>
        <w:t xml:space="preserve">This compact is the Maine enactment of the Dentist and Dental Hygienist Compact.  The form, format and text of the compact have been changed minimally so as to conform to Maine statutory conventions.  The changes are technical in nature, and it is the intent of the Legislature that this compact be interpreted as substantively the same as the Dentist and Dental Hygienist Compact that is enacted by other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§18445.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§18445.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§18445.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