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18504</w:t>
        <w:t xml:space="preserve">.  </w:t>
      </w:r>
      <w:r>
        <w:rPr>
          <w:b/>
        </w:rPr>
        <w:t xml:space="preserve">Eligibility</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A physician may receive an expedited license under the terms and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Exception.</w:t>
        <w:t xml:space="preserve"> </w:t>
      </w:r>
      <w:r>
        <w:t xml:space="preserve"> </w:t>
      </w:r>
      <w:r>
        <w:t xml:space="preserve">An individual who does not meet the requirements of </w:t>
      </w:r>
      <w:r>
        <w:t>section 18503, subsection 11</w:t>
      </w:r>
      <w:r>
        <w:t xml:space="preserve"> may obtain a license to practice medicine in a member state if the individual complies with all laws and requirements, other than the compact, relating to the issuance of a license to practice medicine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§18504.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§18504.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§18504.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