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18704</w:t>
        <w:t xml:space="preserve">.  </w:t>
      </w:r>
      <w:r>
        <w:rPr>
          <w:b/>
        </w:rPr>
        <w:t xml:space="preserve">State participation in the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subsection 2;</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Utilize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Have continuing competence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Biometric-based information.</w:t>
        <w:t xml:space="preserve"> </w:t>
      </w:r>
      <w:r>
        <w:t xml:space="preserve"> </w:t>
      </w:r>
      <w:r>
        <w:t xml:space="preserve">Upon adoption of this compact, the member state has the authority to obtain biometric-based information from each physical therapy licensure applicant and submit this information to the Federal Bureau of Investigation for a criminal background check in accordance with 28 United States Code, Section 534 and 42 United States Code, Section 14616.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Fees.</w:t>
        <w:t xml:space="preserve"> </w:t>
      </w:r>
      <w:r>
        <w:t xml:space="preserve"> </w:t>
      </w:r>
      <w:r>
        <w:t xml:space="preserve">Member states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