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65, c. 425, §18C (AMD). PL 1971, c. 347, §2 (AMD). PL 1987, c. 735, §59 (AMD). PL 1995, c. 353, §§12,13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5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