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Membership; term</w:t>
      </w:r>
    </w:p>
    <w:p>
      <w:pPr>
        <w:jc w:val="both"/>
        <w:spacing w:before="100" w:after="100"/>
        <w:ind w:start="360"/>
        <w:ind w:firstLine="360"/>
      </w:pPr>
      <w:r>
        <w:rPr/>
      </w:r>
      <w:r>
        <w:rPr/>
      </w:r>
      <w:r>
        <w:t xml:space="preserve">The Maine State Board for Licensure of Architects, Landscape Architects and Interior Designers, established by </w:t>
      </w:r>
      <w:r>
        <w:t>Title 5, section 12004‑A, subsection 4</w:t>
      </w:r>
      <w:r>
        <w:t xml:space="preserve">, shall administer this chapter.  The board consists of 9 members appointed by the Governor:  Five must be licensed and practicing architects, one of whom may be a professor of architecture; one must be a licensed and practicing landscape architect; one must be a certified and practicing interior designer and 2 must be public members as defined by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§2 (AMD).]</w:t>
      </w:r>
    </w:p>
    <w:p>
      <w:pPr>
        <w:jc w:val="both"/>
        <w:spacing w:before="100" w:after="100"/>
        <w:ind w:start="360"/>
        <w:ind w:firstLine="360"/>
      </w:pPr>
      <w:r>
        <w:rPr/>
      </w:r>
      <w:r>
        <w:rPr/>
      </w:r>
      <w:r>
        <w:t xml:space="preserve">Appointments are for 3-year terms.  Appointments of members must comply with the provisions of </w:t>
      </w:r>
      <w:r>
        <w:t>Title 10,  section 8009</w:t>
      </w:r>
      <w:r>
        <w:t xml:space="preserve">.  A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2007, c. 402,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§118-G (AMD). PL 1983, c. 413, §3 (RPR). PL 1983, c. 812, §192 (AMD). PL 1987, c. 395, §A108 (AMD). PL 1989, c. 503, §B121 (AMD). PL 1991, c. 396, §§3,4 (AMD). PL 1993, c. 389, §5 (AMD). PL 1993, c. 600, §A37 (AMD). PL 1999, c. 687, §E2 (AMD). PL 2007, c. 402,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Membership;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Membership;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§211. MEMBERSHIP;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