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professional nursing as a registered professional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Examination,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§1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§1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C</w:t>
        <w:t xml:space="preserve">.  </w:t>
      </w:r>
      <w:r>
        <w:rPr/>
      </w:r>
      <w:r>
        <w:t xml:space="preserve">Has passed the National Council Licensure Examination for registered nurses; and</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 PL 2005, c. 473,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§2205-A. Licensure of persons licensed by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§2205-A. Licensure of persons licensed by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§2205-A. LICENSURE OF PERSONS LICENSED BY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